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34BC" w14:textId="7D5A42E9" w:rsidR="00F53758" w:rsidRPr="000F5410" w:rsidRDefault="00F53758" w:rsidP="00F53758">
      <w:pPr>
        <w:jc w:val="center"/>
        <w:rPr>
          <w:b/>
          <w:sz w:val="32"/>
          <w:szCs w:val="32"/>
        </w:rPr>
      </w:pPr>
      <w:r>
        <w:rPr>
          <w:b/>
          <w:sz w:val="32"/>
        </w:rPr>
        <w:t>Beispiel für einen Entscheid bezüglich Baubewilligung im vereinfachten Verfahren</w:t>
      </w:r>
    </w:p>
    <w:p w14:paraId="4C810363" w14:textId="77777777" w:rsidR="00F53758" w:rsidRPr="000548AC" w:rsidRDefault="00F53758" w:rsidP="00F53758">
      <w:pPr>
        <w:jc w:val="both"/>
      </w:pPr>
    </w:p>
    <w:p w14:paraId="0C6BC6CF" w14:textId="77777777" w:rsidR="00F53758" w:rsidRPr="000548AC" w:rsidRDefault="00F53758" w:rsidP="00F53758">
      <w:pPr>
        <w:jc w:val="both"/>
      </w:pPr>
    </w:p>
    <w:p w14:paraId="1DB69E83" w14:textId="77777777" w:rsidR="00F53758" w:rsidRPr="000548AC" w:rsidRDefault="00F53758" w:rsidP="00F53758">
      <w:pPr>
        <w:jc w:val="both"/>
      </w:pPr>
    </w:p>
    <w:p w14:paraId="01EBBA9F" w14:textId="77777777" w:rsidR="00F53758" w:rsidRPr="000548AC" w:rsidRDefault="00F53758" w:rsidP="00F53758">
      <w:pPr>
        <w:jc w:val="both"/>
      </w:pPr>
    </w:p>
    <w:p w14:paraId="4B630DA0" w14:textId="77777777" w:rsidR="00F53758" w:rsidRPr="000548AC" w:rsidRDefault="00F53758" w:rsidP="00F53758">
      <w:pPr>
        <w:jc w:val="both"/>
      </w:pPr>
    </w:p>
    <w:p w14:paraId="320E7EE2" w14:textId="77777777" w:rsidR="00F53758" w:rsidRPr="000548AC" w:rsidRDefault="00F53758" w:rsidP="00F53758">
      <w:pPr>
        <w:jc w:val="both"/>
      </w:pPr>
    </w:p>
    <w:p w14:paraId="712660B7" w14:textId="77777777" w:rsidR="00F53758" w:rsidRPr="000548AC" w:rsidRDefault="00F53758" w:rsidP="00F53758">
      <w:pPr>
        <w:jc w:val="both"/>
      </w:pPr>
    </w:p>
    <w:p w14:paraId="68594AA8" w14:textId="77777777" w:rsidR="00F53758" w:rsidRPr="000548AC" w:rsidRDefault="00F53758" w:rsidP="00F53758">
      <w:pPr>
        <w:jc w:val="both"/>
      </w:pPr>
    </w:p>
    <w:p w14:paraId="44920ABD" w14:textId="77777777" w:rsidR="00F53758" w:rsidRPr="000548AC" w:rsidRDefault="00F53758" w:rsidP="00F53758">
      <w:pPr>
        <w:jc w:val="both"/>
      </w:pPr>
    </w:p>
    <w:p w14:paraId="31B2CA3B" w14:textId="77777777" w:rsidR="00F53758" w:rsidRPr="008E562D" w:rsidRDefault="00F53758" w:rsidP="00F53758">
      <w:pPr>
        <w:jc w:val="both"/>
        <w:rPr>
          <w:sz w:val="28"/>
          <w:szCs w:val="28"/>
          <w:u w:val="single"/>
        </w:rPr>
      </w:pPr>
      <w:r>
        <w:rPr>
          <w:sz w:val="28"/>
          <w:u w:val="single"/>
        </w:rPr>
        <w:t>Sachverhalt</w:t>
      </w:r>
    </w:p>
    <w:p w14:paraId="3304FD8B" w14:textId="77777777" w:rsidR="00F53758" w:rsidRPr="000548AC" w:rsidRDefault="00F53758" w:rsidP="00F53758">
      <w:pPr>
        <w:jc w:val="both"/>
      </w:pPr>
    </w:p>
    <w:p w14:paraId="617F9B9B" w14:textId="77777777" w:rsidR="00F53758" w:rsidRPr="000548AC" w:rsidRDefault="00F53758" w:rsidP="00F53758">
      <w:pPr>
        <w:jc w:val="both"/>
      </w:pPr>
    </w:p>
    <w:p w14:paraId="7781688A" w14:textId="77777777" w:rsidR="00F53758" w:rsidRPr="000548AC" w:rsidRDefault="00F53758" w:rsidP="00F53758">
      <w:pPr>
        <w:jc w:val="both"/>
      </w:pPr>
    </w:p>
    <w:p w14:paraId="3A94712A" w14:textId="77777777" w:rsidR="00F53758" w:rsidRPr="000548AC" w:rsidRDefault="00F53758" w:rsidP="00F53758">
      <w:pPr>
        <w:pBdr>
          <w:top w:val="single" w:sz="4" w:space="1" w:color="auto"/>
          <w:left w:val="single" w:sz="4" w:space="4" w:color="auto"/>
          <w:bottom w:val="single" w:sz="4" w:space="1" w:color="auto"/>
          <w:right w:val="single" w:sz="4" w:space="4" w:color="auto"/>
        </w:pBdr>
        <w:jc w:val="both"/>
        <w:rPr>
          <w:sz w:val="28"/>
          <w:szCs w:val="28"/>
        </w:rPr>
      </w:pPr>
    </w:p>
    <w:p w14:paraId="6BC63BFC" w14:textId="77777777" w:rsidR="00F53758" w:rsidRPr="000548AC" w:rsidRDefault="00F53758" w:rsidP="00F53758">
      <w:pPr>
        <w:pBdr>
          <w:top w:val="single" w:sz="4" w:space="1" w:color="auto"/>
          <w:left w:val="single" w:sz="4" w:space="4" w:color="auto"/>
          <w:bottom w:val="single" w:sz="4" w:space="1" w:color="auto"/>
          <w:right w:val="single" w:sz="4" w:space="4" w:color="auto"/>
        </w:pBdr>
        <w:jc w:val="both"/>
        <w:rPr>
          <w:sz w:val="28"/>
          <w:szCs w:val="28"/>
        </w:rPr>
      </w:pPr>
    </w:p>
    <w:p w14:paraId="2EF829AF" w14:textId="4F9FD49B" w:rsidR="00F53758" w:rsidRPr="00F53758" w:rsidRDefault="00F53758" w:rsidP="00F53758">
      <w:pPr>
        <w:pBdr>
          <w:top w:val="single" w:sz="4" w:space="1" w:color="auto"/>
          <w:left w:val="single" w:sz="4" w:space="4" w:color="auto"/>
          <w:bottom w:val="single" w:sz="4" w:space="1" w:color="auto"/>
          <w:right w:val="single" w:sz="4" w:space="4" w:color="auto"/>
        </w:pBdr>
        <w:jc w:val="both"/>
        <w:rPr>
          <w:sz w:val="28"/>
          <w:szCs w:val="28"/>
        </w:rPr>
      </w:pPr>
      <w:r>
        <w:rPr>
          <w:sz w:val="28"/>
        </w:rPr>
        <w:t xml:space="preserve">Herr Roger Federer hat </w:t>
      </w:r>
      <w:r w:rsidR="000548AC">
        <w:rPr>
          <w:sz w:val="28"/>
        </w:rPr>
        <w:t xml:space="preserve">im vereinfachten Verfahren </w:t>
      </w:r>
      <w:r>
        <w:rPr>
          <w:sz w:val="28"/>
        </w:rPr>
        <w:t xml:space="preserve">ein Baugesuch für den Bau eines Carports für zwei Autos eingereicht. Die Breite des Carports </w:t>
      </w:r>
      <w:r w:rsidR="000548AC">
        <w:rPr>
          <w:sz w:val="28"/>
        </w:rPr>
        <w:t>weicht von der</w:t>
      </w:r>
      <w:r>
        <w:rPr>
          <w:sz w:val="28"/>
        </w:rPr>
        <w:t xml:space="preserve"> VSS-Norm</w:t>
      </w:r>
      <w:r w:rsidR="000548AC">
        <w:rPr>
          <w:sz w:val="28"/>
        </w:rPr>
        <w:t xml:space="preserve"> ab</w:t>
      </w:r>
      <w:r>
        <w:rPr>
          <w:sz w:val="28"/>
        </w:rPr>
        <w:t xml:space="preserve">, weshalb das MobA </w:t>
      </w:r>
      <w:r w:rsidR="000548AC">
        <w:rPr>
          <w:sz w:val="28"/>
        </w:rPr>
        <w:t>einen negativen Vorentscheid erlassen hat</w:t>
      </w:r>
      <w:r>
        <w:rPr>
          <w:sz w:val="28"/>
        </w:rPr>
        <w:t xml:space="preserve">. In Anbetracht der betroffenen Parzelle hat der Gesuchsteller aber keine Wahl. Das Vorhaben würde zudem ein Parkplatzproblem lösen. Deshalb hat der Gemeinderat beschlossen, die Baubewilligung zu erteilen. </w:t>
      </w:r>
    </w:p>
    <w:p w14:paraId="0163F139" w14:textId="77777777" w:rsidR="00F53758" w:rsidRPr="000548AC" w:rsidRDefault="00F53758" w:rsidP="00F53758">
      <w:pPr>
        <w:pBdr>
          <w:top w:val="single" w:sz="4" w:space="1" w:color="auto"/>
          <w:left w:val="single" w:sz="4" w:space="4" w:color="auto"/>
          <w:bottom w:val="single" w:sz="4" w:space="1" w:color="auto"/>
          <w:right w:val="single" w:sz="4" w:space="4" w:color="auto"/>
        </w:pBdr>
        <w:jc w:val="both"/>
        <w:rPr>
          <w:sz w:val="28"/>
          <w:szCs w:val="28"/>
        </w:rPr>
      </w:pPr>
    </w:p>
    <w:p w14:paraId="7229D898" w14:textId="77777777" w:rsidR="00F53758" w:rsidRPr="000548AC" w:rsidRDefault="00F53758" w:rsidP="00F53758">
      <w:pPr>
        <w:pBdr>
          <w:top w:val="single" w:sz="4" w:space="1" w:color="auto"/>
          <w:left w:val="single" w:sz="4" w:space="4" w:color="auto"/>
          <w:bottom w:val="single" w:sz="4" w:space="1" w:color="auto"/>
          <w:right w:val="single" w:sz="4" w:space="4" w:color="auto"/>
        </w:pBdr>
        <w:jc w:val="both"/>
        <w:rPr>
          <w:sz w:val="28"/>
          <w:szCs w:val="28"/>
        </w:rPr>
      </w:pPr>
    </w:p>
    <w:p w14:paraId="4A672499" w14:textId="77777777" w:rsidR="00F53758" w:rsidRPr="000548AC" w:rsidRDefault="00F53758" w:rsidP="00F53758">
      <w:pPr>
        <w:jc w:val="both"/>
      </w:pPr>
    </w:p>
    <w:p w14:paraId="71F3DDD1" w14:textId="77777777" w:rsidR="00F53758" w:rsidRPr="000548AC" w:rsidRDefault="00F53758" w:rsidP="00F53758">
      <w:pPr>
        <w:jc w:val="both"/>
      </w:pPr>
    </w:p>
    <w:p w14:paraId="33918BC5" w14:textId="77777777" w:rsidR="00F53758" w:rsidRPr="000548AC" w:rsidRDefault="00F53758" w:rsidP="00F53758">
      <w:pPr>
        <w:jc w:val="both"/>
      </w:pPr>
    </w:p>
    <w:p w14:paraId="71ABCD52" w14:textId="77777777" w:rsidR="00F53758" w:rsidRPr="000548AC" w:rsidRDefault="00F53758" w:rsidP="00F53758">
      <w:pPr>
        <w:jc w:val="both"/>
      </w:pPr>
    </w:p>
    <w:p w14:paraId="66F0AAF0" w14:textId="77777777" w:rsidR="00F53758" w:rsidRPr="000548AC" w:rsidRDefault="00F53758" w:rsidP="00F53758">
      <w:pPr>
        <w:jc w:val="both"/>
      </w:pPr>
    </w:p>
    <w:p w14:paraId="39DAA59C" w14:textId="77777777" w:rsidR="00F53758" w:rsidRPr="000548AC" w:rsidRDefault="00F53758" w:rsidP="00F53758">
      <w:pPr>
        <w:jc w:val="both"/>
      </w:pPr>
    </w:p>
    <w:p w14:paraId="14102525" w14:textId="77777777" w:rsidR="00F53758" w:rsidRPr="000548AC" w:rsidRDefault="00F53758" w:rsidP="00F53758">
      <w:pPr>
        <w:jc w:val="both"/>
      </w:pPr>
    </w:p>
    <w:p w14:paraId="4A6DBD41" w14:textId="77777777" w:rsidR="00F53758" w:rsidRPr="000548AC" w:rsidRDefault="00F53758" w:rsidP="00F53758">
      <w:pPr>
        <w:jc w:val="both"/>
      </w:pPr>
    </w:p>
    <w:p w14:paraId="6F024505" w14:textId="77777777" w:rsidR="00F53758" w:rsidRPr="000548AC" w:rsidRDefault="00F53758" w:rsidP="00F53758">
      <w:pPr>
        <w:jc w:val="both"/>
      </w:pPr>
    </w:p>
    <w:p w14:paraId="451ECBEC" w14:textId="77777777" w:rsidR="00F53758" w:rsidRPr="000548AC" w:rsidRDefault="00F53758" w:rsidP="00F53758">
      <w:pPr>
        <w:jc w:val="both"/>
      </w:pPr>
    </w:p>
    <w:p w14:paraId="4982075B" w14:textId="77777777" w:rsidR="00F53758" w:rsidRPr="000548AC" w:rsidRDefault="00F53758" w:rsidP="00F53758">
      <w:pPr>
        <w:jc w:val="both"/>
      </w:pPr>
    </w:p>
    <w:p w14:paraId="1C611A1C" w14:textId="77777777" w:rsidR="00F53758" w:rsidRPr="000548AC" w:rsidRDefault="00F53758" w:rsidP="00F53758">
      <w:pPr>
        <w:jc w:val="both"/>
      </w:pPr>
    </w:p>
    <w:p w14:paraId="543354CD" w14:textId="77777777" w:rsidR="00F53758" w:rsidRPr="000548AC" w:rsidRDefault="00F53758" w:rsidP="00F53758">
      <w:pPr>
        <w:jc w:val="both"/>
      </w:pPr>
    </w:p>
    <w:p w14:paraId="002328E0" w14:textId="77777777" w:rsidR="00F21E4F" w:rsidRPr="000548AC" w:rsidRDefault="00F21E4F">
      <w:pPr>
        <w:overflowPunct/>
        <w:autoSpaceDE/>
        <w:autoSpaceDN/>
        <w:adjustRightInd/>
        <w:spacing w:after="200"/>
        <w:textAlignment w:val="auto"/>
        <w:rPr>
          <w:rFonts w:ascii="Arial" w:hAnsi="Arial"/>
        </w:rPr>
      </w:pPr>
    </w:p>
    <w:p w14:paraId="3DFABE1D" w14:textId="77777777" w:rsidR="00F21E4F" w:rsidRPr="000548AC" w:rsidRDefault="00F21E4F">
      <w:pPr>
        <w:overflowPunct/>
        <w:autoSpaceDE/>
        <w:autoSpaceDN/>
        <w:adjustRightInd/>
        <w:spacing w:after="200"/>
        <w:textAlignment w:val="auto"/>
        <w:rPr>
          <w:rFonts w:ascii="Arial" w:hAnsi="Arial"/>
        </w:rPr>
      </w:pPr>
    </w:p>
    <w:p w14:paraId="09A638A2" w14:textId="77777777" w:rsidR="00F21E4F" w:rsidRPr="000548AC" w:rsidRDefault="00F21E4F">
      <w:pPr>
        <w:overflowPunct/>
        <w:autoSpaceDE/>
        <w:autoSpaceDN/>
        <w:adjustRightInd/>
        <w:spacing w:after="200"/>
        <w:textAlignment w:val="auto"/>
        <w:rPr>
          <w:rFonts w:ascii="Arial" w:hAnsi="Arial"/>
        </w:rPr>
      </w:pPr>
    </w:p>
    <w:p w14:paraId="0A0D94B4" w14:textId="77777777" w:rsidR="00F21E4F" w:rsidRPr="000548AC" w:rsidRDefault="00F21E4F">
      <w:pPr>
        <w:overflowPunct/>
        <w:autoSpaceDE/>
        <w:autoSpaceDN/>
        <w:adjustRightInd/>
        <w:spacing w:after="200"/>
        <w:textAlignment w:val="auto"/>
        <w:rPr>
          <w:rFonts w:ascii="Arial" w:hAnsi="Arial"/>
        </w:rPr>
      </w:pPr>
    </w:p>
    <w:p w14:paraId="35E6E579" w14:textId="77777777" w:rsidR="00F21E4F" w:rsidRPr="000548AC" w:rsidRDefault="00F21E4F">
      <w:pPr>
        <w:overflowPunct/>
        <w:autoSpaceDE/>
        <w:autoSpaceDN/>
        <w:adjustRightInd/>
        <w:spacing w:after="200"/>
        <w:textAlignment w:val="auto"/>
        <w:rPr>
          <w:rFonts w:ascii="Arial" w:hAnsi="Arial"/>
        </w:rPr>
      </w:pPr>
    </w:p>
    <w:p w14:paraId="31547371" w14:textId="77777777" w:rsidR="00F21E4F" w:rsidRPr="000548AC" w:rsidRDefault="00F21E4F">
      <w:pPr>
        <w:overflowPunct/>
        <w:autoSpaceDE/>
        <w:autoSpaceDN/>
        <w:adjustRightInd/>
        <w:spacing w:after="200"/>
        <w:textAlignment w:val="auto"/>
        <w:rPr>
          <w:rFonts w:ascii="Arial" w:hAnsi="Arial"/>
        </w:rPr>
      </w:pPr>
    </w:p>
    <w:p w14:paraId="5C245119" w14:textId="75FE2167" w:rsidR="00F21E4F" w:rsidRPr="00F53758" w:rsidRDefault="00F21E4F">
      <w:pPr>
        <w:overflowPunct/>
        <w:autoSpaceDE/>
        <w:autoSpaceDN/>
        <w:adjustRightInd/>
        <w:spacing w:after="200"/>
        <w:textAlignment w:val="auto"/>
        <w:rPr>
          <w:rFonts w:ascii="Arial" w:hAnsi="Arial"/>
          <w:sz w:val="24"/>
          <w:szCs w:val="24"/>
        </w:rPr>
      </w:pPr>
      <w:r>
        <w:br w:type="page"/>
      </w:r>
    </w:p>
    <w:p w14:paraId="04707294" w14:textId="3D17FBD1" w:rsidR="00DE2456" w:rsidRDefault="00AB57E4" w:rsidP="000A5C9E">
      <w:pPr>
        <w:pStyle w:val="07btexteprincipalsansespacebloc"/>
        <w:ind w:left="284" w:hanging="284"/>
        <w:jc w:val="both"/>
        <w:rPr>
          <w:rFonts w:ascii="Arial" w:hAnsi="Arial"/>
        </w:rPr>
      </w:pPr>
      <w:r>
        <w:rPr>
          <w:rFonts w:ascii="Arial" w:hAnsi="Arial"/>
        </w:rPr>
        <w:lastRenderedPageBreak/>
        <w:t>Gemeinderat YYY</w:t>
      </w:r>
    </w:p>
    <w:p w14:paraId="68E84971" w14:textId="77777777" w:rsidR="000A5C9E" w:rsidRPr="00B02783" w:rsidRDefault="000A5C9E" w:rsidP="000A5C9E">
      <w:pPr>
        <w:pStyle w:val="07btexteprincipalsansespacebloc"/>
        <w:ind w:left="284" w:hanging="284"/>
        <w:jc w:val="both"/>
        <w:rPr>
          <w:rFonts w:ascii="Arial" w:hAnsi="Arial"/>
        </w:rPr>
      </w:pPr>
      <w:r>
        <w:rPr>
          <w:rFonts w:ascii="Arial" w:hAnsi="Arial"/>
        </w:rPr>
        <w:t>Adresse</w:t>
      </w:r>
    </w:p>
    <w:p w14:paraId="32565E4D" w14:textId="77777777" w:rsidR="005B6F3B" w:rsidRDefault="005B6F3B" w:rsidP="005B6F3B">
      <w:pPr>
        <w:ind w:left="142" w:right="-233" w:hanging="142"/>
        <w:jc w:val="both"/>
        <w:rPr>
          <w:sz w:val="24"/>
          <w:szCs w:val="24"/>
        </w:rPr>
      </w:pPr>
    </w:p>
    <w:p w14:paraId="366C792E" w14:textId="77777777" w:rsidR="00DE2456" w:rsidRPr="000548AC" w:rsidRDefault="00DE2456" w:rsidP="005B6F3B">
      <w:pPr>
        <w:tabs>
          <w:tab w:val="left" w:pos="6237"/>
        </w:tabs>
        <w:ind w:left="142" w:right="-233" w:hanging="142"/>
        <w:jc w:val="both"/>
        <w:rPr>
          <w:sz w:val="24"/>
          <w:szCs w:val="24"/>
        </w:rPr>
      </w:pPr>
    </w:p>
    <w:p w14:paraId="7A719EF1" w14:textId="77777777" w:rsidR="00DE2456" w:rsidRPr="000548AC" w:rsidRDefault="00DE2456" w:rsidP="005B6F3B">
      <w:pPr>
        <w:tabs>
          <w:tab w:val="left" w:pos="6237"/>
        </w:tabs>
        <w:ind w:left="142" w:right="-233" w:hanging="142"/>
        <w:jc w:val="both"/>
        <w:rPr>
          <w:sz w:val="24"/>
          <w:szCs w:val="24"/>
        </w:rPr>
      </w:pPr>
    </w:p>
    <w:p w14:paraId="73EB7D75" w14:textId="77777777" w:rsidR="00DE2456" w:rsidRPr="000548AC" w:rsidRDefault="00DE2456" w:rsidP="005B6F3B">
      <w:pPr>
        <w:tabs>
          <w:tab w:val="left" w:pos="6237"/>
        </w:tabs>
        <w:ind w:left="142" w:right="-233" w:hanging="142"/>
        <w:jc w:val="both"/>
        <w:rPr>
          <w:sz w:val="24"/>
          <w:szCs w:val="24"/>
        </w:rPr>
      </w:pPr>
    </w:p>
    <w:p w14:paraId="2C38DFBA" w14:textId="577171C1" w:rsidR="00DE2456" w:rsidRDefault="00E2234B" w:rsidP="00E2234B">
      <w:pPr>
        <w:pStyle w:val="04titreprincipalouobjetnormal"/>
        <w:jc w:val="center"/>
        <w:rPr>
          <w:b/>
        </w:rPr>
      </w:pPr>
      <w:r>
        <w:rPr>
          <w:b/>
        </w:rPr>
        <w:t>Baubewilligung Nr. xxx</w:t>
      </w:r>
    </w:p>
    <w:p w14:paraId="3625D068" w14:textId="63B8F0B5" w:rsidR="00E2234B" w:rsidRDefault="00E2234B" w:rsidP="00E2234B">
      <w:pPr>
        <w:pStyle w:val="04titreprincipalouobjetnormal"/>
        <w:jc w:val="center"/>
        <w:rPr>
          <w:b/>
        </w:rPr>
      </w:pPr>
    </w:p>
    <w:p w14:paraId="48F7422B" w14:textId="5FA346FE" w:rsidR="00E2234B" w:rsidRPr="008D74AD" w:rsidRDefault="00E2234B" w:rsidP="00E2234B">
      <w:pPr>
        <w:pStyle w:val="04titreprincipalouobjetnormal"/>
        <w:jc w:val="center"/>
        <w:rPr>
          <w:b/>
        </w:rPr>
      </w:pPr>
      <w:r>
        <w:rPr>
          <w:b/>
        </w:rPr>
        <w:t>Der Gemeinderat</w:t>
      </w:r>
    </w:p>
    <w:p w14:paraId="1CEB9D8B" w14:textId="77777777" w:rsidR="00DE2456" w:rsidRPr="00CD71B5" w:rsidRDefault="00DE2456" w:rsidP="00DE2456">
      <w:pPr>
        <w:pStyle w:val="04titreprincipalouobjetnormal"/>
        <w:jc w:val="both"/>
      </w:pPr>
    </w:p>
    <w:p w14:paraId="16078F1A" w14:textId="77777777" w:rsidR="00DE2456" w:rsidRPr="00CD71B5" w:rsidRDefault="00DE2456" w:rsidP="00DE2456">
      <w:pPr>
        <w:pStyle w:val="04titreprincipalouobjetnormal"/>
        <w:jc w:val="both"/>
      </w:pPr>
    </w:p>
    <w:p w14:paraId="3B09955D" w14:textId="77777777" w:rsidR="00DE2456" w:rsidRPr="00CD71B5" w:rsidRDefault="00DE2456" w:rsidP="00DE2456">
      <w:pPr>
        <w:pStyle w:val="04titreprincipalouobjetnormal"/>
        <w:jc w:val="center"/>
        <w:rPr>
          <w:b/>
        </w:rPr>
      </w:pPr>
      <w:r>
        <w:rPr>
          <w:b/>
        </w:rPr>
        <w:t>gestützt auf</w:t>
      </w:r>
    </w:p>
    <w:p w14:paraId="79B3DE1C" w14:textId="77777777" w:rsidR="00DE2456" w:rsidRPr="00CD71B5" w:rsidRDefault="00DE2456" w:rsidP="00DE2456">
      <w:pPr>
        <w:pStyle w:val="07btexteprincipalsansespacebloc"/>
        <w:jc w:val="both"/>
        <w:rPr>
          <w:rFonts w:ascii="Arial" w:hAnsi="Arial"/>
        </w:rPr>
      </w:pPr>
    </w:p>
    <w:p w14:paraId="045CC366" w14:textId="77777777" w:rsidR="00DE2456" w:rsidRPr="00CD71B5" w:rsidRDefault="00DE2456" w:rsidP="00DE2456">
      <w:pPr>
        <w:pStyle w:val="07btexteprincipalsansespacebloc"/>
        <w:jc w:val="both"/>
        <w:rPr>
          <w:rFonts w:ascii="Arial" w:hAnsi="Arial"/>
        </w:rPr>
      </w:pPr>
    </w:p>
    <w:p w14:paraId="75C0D0D4" w14:textId="61304D2F" w:rsidR="00DE2456" w:rsidRPr="00CD71B5" w:rsidRDefault="00DE2456" w:rsidP="00DE2456">
      <w:pPr>
        <w:pStyle w:val="07btexteprincipalsansespacebloc"/>
        <w:ind w:left="284" w:hanging="284"/>
        <w:jc w:val="both"/>
        <w:rPr>
          <w:rFonts w:ascii="Arial" w:hAnsi="Arial"/>
        </w:rPr>
      </w:pPr>
      <w:r>
        <w:rPr>
          <w:rFonts w:ascii="Arial" w:hAnsi="Arial"/>
        </w:rPr>
        <w:t>-</w:t>
      </w:r>
      <w:r>
        <w:rPr>
          <w:rFonts w:ascii="Arial" w:hAnsi="Arial"/>
        </w:rPr>
        <w:tab/>
        <w:t>das Gesetz vom 23.</w:t>
      </w:r>
      <w:r w:rsidR="000548AC">
        <w:rPr>
          <w:rFonts w:ascii="Arial" w:hAnsi="Arial" w:cs="Arial"/>
        </w:rPr>
        <w:t> </w:t>
      </w:r>
      <w:r>
        <w:rPr>
          <w:rFonts w:ascii="Arial" w:hAnsi="Arial"/>
        </w:rPr>
        <w:t>Mai 1991 über die Verwaltungsrechtspflege (VRG);</w:t>
      </w:r>
    </w:p>
    <w:p w14:paraId="01185EBD" w14:textId="77777777" w:rsidR="00DE2456" w:rsidRPr="00CD71B5" w:rsidRDefault="00DE2456" w:rsidP="00DE2456">
      <w:pPr>
        <w:pStyle w:val="07btexteprincipalsansespacebloc"/>
        <w:ind w:left="284" w:hanging="284"/>
        <w:jc w:val="both"/>
        <w:rPr>
          <w:rFonts w:ascii="Arial" w:hAnsi="Arial"/>
        </w:rPr>
      </w:pPr>
    </w:p>
    <w:p w14:paraId="1EF726BE" w14:textId="0280D9E5" w:rsidR="00DE2456" w:rsidRDefault="00DE2456" w:rsidP="00DE2456">
      <w:pPr>
        <w:pStyle w:val="07btexteprincipalsansespacebloc"/>
        <w:ind w:left="284" w:hanging="284"/>
        <w:jc w:val="both"/>
        <w:rPr>
          <w:rFonts w:ascii="Arial" w:hAnsi="Arial"/>
        </w:rPr>
      </w:pPr>
      <w:r>
        <w:rPr>
          <w:rFonts w:ascii="Arial" w:hAnsi="Arial"/>
        </w:rPr>
        <w:t>-</w:t>
      </w:r>
      <w:r>
        <w:rPr>
          <w:rFonts w:ascii="Arial" w:hAnsi="Arial"/>
        </w:rPr>
        <w:tab/>
        <w:t>das Raumplanungs- und Baugesetz vom 2.</w:t>
      </w:r>
      <w:r w:rsidR="000548AC">
        <w:rPr>
          <w:rFonts w:ascii="Arial" w:hAnsi="Arial" w:cs="Arial"/>
        </w:rPr>
        <w:t> </w:t>
      </w:r>
      <w:r>
        <w:rPr>
          <w:rFonts w:ascii="Arial" w:hAnsi="Arial"/>
        </w:rPr>
        <w:t>Dezember 2008 (RPBG) und sein Ausführungsreglement vom 1.</w:t>
      </w:r>
      <w:r w:rsidR="000548AC">
        <w:rPr>
          <w:rFonts w:ascii="Arial" w:hAnsi="Arial" w:cs="Arial"/>
        </w:rPr>
        <w:t> </w:t>
      </w:r>
      <w:r>
        <w:rPr>
          <w:rFonts w:ascii="Arial" w:hAnsi="Arial"/>
        </w:rPr>
        <w:t>Dezember 2009 (RPBR);</w:t>
      </w:r>
    </w:p>
    <w:p w14:paraId="0A9615B4" w14:textId="77777777" w:rsidR="002B6CBD" w:rsidRDefault="002B6CBD" w:rsidP="00DE2456">
      <w:pPr>
        <w:pStyle w:val="07btexteprincipalsansespacebloc"/>
        <w:ind w:left="284" w:hanging="284"/>
        <w:jc w:val="both"/>
        <w:rPr>
          <w:rFonts w:ascii="Arial" w:hAnsi="Arial"/>
        </w:rPr>
      </w:pPr>
    </w:p>
    <w:p w14:paraId="7ABD57E1" w14:textId="1C311726" w:rsidR="002B6CBD" w:rsidRDefault="002B6CBD" w:rsidP="00DE2456">
      <w:pPr>
        <w:pStyle w:val="07btexteprincipalsansespacebloc"/>
        <w:ind w:left="284" w:hanging="284"/>
        <w:jc w:val="both"/>
        <w:rPr>
          <w:rFonts w:ascii="Arial" w:hAnsi="Arial"/>
        </w:rPr>
      </w:pPr>
      <w:r>
        <w:rPr>
          <w:rFonts w:ascii="Arial" w:hAnsi="Arial"/>
        </w:rPr>
        <w:t>-</w:t>
      </w:r>
      <w:r>
        <w:rPr>
          <w:rFonts w:ascii="Arial" w:hAnsi="Arial"/>
        </w:rPr>
        <w:tab/>
        <w:t>das Baugesuch von YYY;</w:t>
      </w:r>
    </w:p>
    <w:p w14:paraId="629ACCB8" w14:textId="77777777" w:rsidR="002B6CBD" w:rsidRDefault="002B6CBD" w:rsidP="00DE2456">
      <w:pPr>
        <w:pStyle w:val="07btexteprincipalsansespacebloc"/>
        <w:ind w:left="284" w:hanging="284"/>
        <w:jc w:val="both"/>
        <w:rPr>
          <w:rFonts w:ascii="Arial" w:hAnsi="Arial"/>
        </w:rPr>
      </w:pPr>
    </w:p>
    <w:p w14:paraId="67ACA30E" w14:textId="77777777" w:rsidR="002B6CBD" w:rsidRDefault="006D5F9F" w:rsidP="00DE2456">
      <w:pPr>
        <w:pStyle w:val="07btexteprincipalsansespacebloc"/>
        <w:ind w:left="284" w:hanging="284"/>
        <w:jc w:val="both"/>
        <w:rPr>
          <w:rFonts w:ascii="Arial" w:hAnsi="Arial"/>
        </w:rPr>
      </w:pPr>
      <w:r>
        <w:rPr>
          <w:rFonts w:ascii="Arial" w:hAnsi="Arial"/>
        </w:rPr>
        <w:t>-</w:t>
      </w:r>
      <w:r>
        <w:rPr>
          <w:rFonts w:ascii="Arial" w:hAnsi="Arial"/>
        </w:rPr>
        <w:tab/>
        <w:t>sämtliche Bestandteile des Gesuchs,</w:t>
      </w:r>
    </w:p>
    <w:p w14:paraId="64F845B9" w14:textId="77777777" w:rsidR="002B6CBD" w:rsidRDefault="002B6CBD" w:rsidP="00DE2456">
      <w:pPr>
        <w:pStyle w:val="07btexteprincipalsansespacebloc"/>
        <w:ind w:left="284" w:hanging="284"/>
        <w:jc w:val="both"/>
        <w:rPr>
          <w:rFonts w:ascii="Arial" w:hAnsi="Arial"/>
        </w:rPr>
      </w:pPr>
    </w:p>
    <w:p w14:paraId="2397AACB" w14:textId="77777777" w:rsidR="00DE2456" w:rsidRPr="00CD71B5" w:rsidRDefault="00DE2456" w:rsidP="00DE2456">
      <w:pPr>
        <w:pStyle w:val="07btexteprincipalsansespacebloc"/>
        <w:ind w:left="284" w:hanging="284"/>
        <w:jc w:val="both"/>
        <w:rPr>
          <w:rFonts w:ascii="Arial" w:hAnsi="Arial"/>
        </w:rPr>
      </w:pPr>
    </w:p>
    <w:p w14:paraId="0C7FE665" w14:textId="574342A2" w:rsidR="00DE2456" w:rsidRDefault="00D805CA" w:rsidP="00DE2456">
      <w:pPr>
        <w:pStyle w:val="05titreprincipalouobjetgras"/>
        <w:jc w:val="center"/>
      </w:pPr>
      <w:r>
        <w:t xml:space="preserve">bewilligt </w:t>
      </w:r>
    </w:p>
    <w:p w14:paraId="4A603537" w14:textId="67E65C30" w:rsidR="00D805CA" w:rsidRDefault="00D805CA" w:rsidP="00DE2456">
      <w:pPr>
        <w:pStyle w:val="05titreprincipalouobjetgras"/>
        <w:jc w:val="center"/>
      </w:pPr>
    </w:p>
    <w:p w14:paraId="0B6B9C25" w14:textId="72637B9D" w:rsidR="00D805CA" w:rsidRDefault="00D805CA" w:rsidP="00DE2456">
      <w:pPr>
        <w:pStyle w:val="05titreprincipalouobjetgras"/>
        <w:jc w:val="center"/>
      </w:pPr>
      <w:r>
        <w:t>Herrn Roger Federer, Gewinnergasse</w:t>
      </w:r>
      <w:r w:rsidR="000548AC">
        <w:rPr>
          <w:rFonts w:cs="Arial"/>
        </w:rPr>
        <w:t> </w:t>
      </w:r>
      <w:r>
        <w:t>10, 1000 Tennis</w:t>
      </w:r>
    </w:p>
    <w:p w14:paraId="3B93A9DC" w14:textId="6A92B624" w:rsidR="004A0D00" w:rsidRPr="00D805CA" w:rsidRDefault="004A0D00" w:rsidP="00DE2456">
      <w:pPr>
        <w:pStyle w:val="05titreprincipalouobjetgras"/>
        <w:jc w:val="center"/>
      </w:pPr>
      <w:r>
        <w:t>den Bau eines Carports für zwei Autos</w:t>
      </w:r>
    </w:p>
    <w:p w14:paraId="21B67075" w14:textId="4A03F8BC" w:rsidR="00DE2456" w:rsidRPr="000548AC" w:rsidRDefault="00DE2456" w:rsidP="00DE2456">
      <w:pPr>
        <w:pStyle w:val="07btexteprincipalsansespacebloc"/>
        <w:ind w:left="284" w:hanging="284"/>
        <w:jc w:val="both"/>
        <w:rPr>
          <w:rFonts w:ascii="Arial" w:hAnsi="Arial"/>
        </w:rPr>
      </w:pPr>
    </w:p>
    <w:p w14:paraId="156A0E8E" w14:textId="77777777" w:rsidR="004A0D00" w:rsidRPr="000548AC" w:rsidRDefault="004A0D00" w:rsidP="00DE2456">
      <w:pPr>
        <w:pStyle w:val="07btexteprincipalsansespacebloc"/>
        <w:ind w:left="284" w:hanging="284"/>
        <w:jc w:val="both"/>
        <w:rPr>
          <w:rFonts w:ascii="Arial" w:hAnsi="Arial"/>
        </w:rPr>
      </w:pPr>
    </w:p>
    <w:p w14:paraId="3CBC5CD9" w14:textId="104D0419" w:rsidR="004A0D00" w:rsidRDefault="004A0D00" w:rsidP="00DE2456">
      <w:pPr>
        <w:pStyle w:val="07btexteprincipalsansespacebloc"/>
        <w:ind w:left="284" w:hanging="284"/>
        <w:jc w:val="both"/>
        <w:rPr>
          <w:rFonts w:ascii="Arial" w:hAnsi="Arial"/>
        </w:rPr>
      </w:pPr>
      <w:r>
        <w:rPr>
          <w:rFonts w:ascii="Arial" w:hAnsi="Arial"/>
        </w:rPr>
        <w:t xml:space="preserve">auf der wie folgt im Kataster der Gemeinde bezeichneten Parzelle: </w:t>
      </w:r>
    </w:p>
    <w:p w14:paraId="5E8C8053" w14:textId="77777777" w:rsidR="004A0D00" w:rsidRPr="000548AC" w:rsidRDefault="004A0D00" w:rsidP="00DE2456">
      <w:pPr>
        <w:pStyle w:val="07btexteprincipalsansespacebloc"/>
        <w:ind w:left="284" w:hanging="284"/>
        <w:jc w:val="both"/>
        <w:rPr>
          <w:rFonts w:ascii="Arial" w:hAnsi="Arial"/>
        </w:rPr>
      </w:pPr>
    </w:p>
    <w:p w14:paraId="3CD51AC7" w14:textId="0D4FC819" w:rsidR="004A0D00" w:rsidRDefault="004A0D00" w:rsidP="000548AC">
      <w:pPr>
        <w:pStyle w:val="07btexteprincipalsansespacebloc"/>
        <w:tabs>
          <w:tab w:val="left" w:pos="2694"/>
          <w:tab w:val="left" w:pos="5245"/>
        </w:tabs>
        <w:ind w:left="284"/>
        <w:jc w:val="both"/>
        <w:rPr>
          <w:rFonts w:ascii="Arial" w:hAnsi="Arial"/>
        </w:rPr>
      </w:pPr>
      <w:r>
        <w:rPr>
          <w:rFonts w:ascii="Arial" w:hAnsi="Arial"/>
        </w:rPr>
        <w:t xml:space="preserve">Plan Nr.: 28 </w:t>
      </w:r>
      <w:r>
        <w:rPr>
          <w:rFonts w:ascii="Arial" w:hAnsi="Arial"/>
        </w:rPr>
        <w:tab/>
        <w:t>Parzelle 1523</w:t>
      </w:r>
      <w:r>
        <w:rPr>
          <w:rFonts w:ascii="Arial" w:hAnsi="Arial"/>
        </w:rPr>
        <w:tab/>
        <w:t>Ortsname: Gewinnergasse 10</w:t>
      </w:r>
    </w:p>
    <w:p w14:paraId="17387EC2" w14:textId="77777777" w:rsidR="004A0D00" w:rsidRPr="000548AC" w:rsidRDefault="004A0D00" w:rsidP="00DE2456">
      <w:pPr>
        <w:pStyle w:val="07btexteprincipalsansespacebloc"/>
        <w:ind w:left="284" w:hanging="284"/>
        <w:jc w:val="both"/>
        <w:rPr>
          <w:rFonts w:ascii="Arial" w:hAnsi="Arial"/>
        </w:rPr>
      </w:pPr>
    </w:p>
    <w:p w14:paraId="6F050215" w14:textId="75A3001B" w:rsidR="00DE2456" w:rsidRPr="000548AC" w:rsidRDefault="00DE2456" w:rsidP="00DE2456">
      <w:pPr>
        <w:pStyle w:val="07btexteprincipalsansespacebloc"/>
        <w:ind w:left="284" w:hanging="284"/>
        <w:jc w:val="both"/>
        <w:rPr>
          <w:rFonts w:ascii="Arial" w:hAnsi="Arial"/>
        </w:rPr>
      </w:pPr>
    </w:p>
    <w:p w14:paraId="09480186" w14:textId="4829365E" w:rsidR="004A0D00" w:rsidRDefault="004A0D00" w:rsidP="00DE2456">
      <w:pPr>
        <w:pStyle w:val="07btexteprincipalsansespacebloc"/>
        <w:ind w:left="284" w:hanging="284"/>
        <w:jc w:val="both"/>
        <w:rPr>
          <w:rFonts w:ascii="Arial" w:hAnsi="Arial"/>
        </w:rPr>
      </w:pPr>
      <w:r>
        <w:rPr>
          <w:rFonts w:ascii="Arial" w:hAnsi="Arial"/>
        </w:rPr>
        <w:t xml:space="preserve">zu den folgenden Bedingungen: </w:t>
      </w:r>
    </w:p>
    <w:p w14:paraId="70178E6F" w14:textId="52C033CE" w:rsidR="004A0D00" w:rsidRDefault="004A0D00" w:rsidP="00DE2456">
      <w:pPr>
        <w:pStyle w:val="07btexteprincipalsansespacebloc"/>
        <w:ind w:left="284" w:hanging="284"/>
        <w:jc w:val="both"/>
        <w:rPr>
          <w:rFonts w:ascii="Arial" w:hAnsi="Arial"/>
          <w:lang w:val="fr-CH"/>
        </w:rPr>
      </w:pPr>
    </w:p>
    <w:p w14:paraId="32904CDD" w14:textId="5EB5F7FA" w:rsidR="004A0D00" w:rsidRDefault="004A0D00" w:rsidP="004A0D00">
      <w:pPr>
        <w:pStyle w:val="07btexteprincipalsansespacebloc"/>
        <w:numPr>
          <w:ilvl w:val="0"/>
          <w:numId w:val="2"/>
        </w:numPr>
        <w:jc w:val="both"/>
        <w:rPr>
          <w:rFonts w:ascii="Arial" w:hAnsi="Arial"/>
        </w:rPr>
      </w:pPr>
      <w:r>
        <w:rPr>
          <w:rFonts w:ascii="Arial" w:hAnsi="Arial"/>
        </w:rPr>
        <w:t>Endgültig unter Vorbehalt der Rechte Dritter, der Bestimmungen zur öffentlichen Ordnung und der strengen Einhaltung der Pläne</w:t>
      </w:r>
      <w:r w:rsidR="000548AC">
        <w:rPr>
          <w:rFonts w:ascii="Arial" w:hAnsi="Arial"/>
        </w:rPr>
        <w:t>, der Bedingungen der kantonalen Stellungnahmen</w:t>
      </w:r>
      <w:r>
        <w:rPr>
          <w:rFonts w:ascii="Arial" w:hAnsi="Arial"/>
        </w:rPr>
        <w:t xml:space="preserve"> durch den Gesuchsteller. </w:t>
      </w:r>
    </w:p>
    <w:p w14:paraId="27FE1CC8" w14:textId="77777777" w:rsidR="002E63DC" w:rsidRPr="000548AC" w:rsidRDefault="002E63DC" w:rsidP="002E63DC">
      <w:pPr>
        <w:pStyle w:val="07btexteprincipalsansespacebloc"/>
        <w:ind w:left="720"/>
        <w:jc w:val="both"/>
        <w:rPr>
          <w:rFonts w:ascii="Arial" w:hAnsi="Arial"/>
        </w:rPr>
      </w:pPr>
    </w:p>
    <w:p w14:paraId="74EDF44D" w14:textId="246D6261" w:rsidR="00D305B3" w:rsidRDefault="00F07838" w:rsidP="004A0D00">
      <w:pPr>
        <w:pStyle w:val="07btexteprincipalsansespacebloc"/>
        <w:numPr>
          <w:ilvl w:val="0"/>
          <w:numId w:val="2"/>
        </w:numPr>
        <w:jc w:val="both"/>
        <w:rPr>
          <w:rFonts w:ascii="Arial" w:hAnsi="Arial"/>
        </w:rPr>
      </w:pPr>
      <w:r>
        <w:rPr>
          <w:rFonts w:ascii="Arial" w:hAnsi="Arial"/>
        </w:rPr>
        <w:t>In seinem negativen Vorentscheid verweist das MobA darauf, dass die Norm VSS</w:t>
      </w:r>
      <w:r w:rsidR="000548AC">
        <w:rPr>
          <w:rFonts w:ascii="Arial" w:hAnsi="Arial" w:cs="Arial"/>
        </w:rPr>
        <w:t> </w:t>
      </w:r>
      <w:r>
        <w:rPr>
          <w:rFonts w:ascii="Arial" w:hAnsi="Arial"/>
        </w:rPr>
        <w:t>40</w:t>
      </w:r>
      <w:r w:rsidR="000548AC">
        <w:rPr>
          <w:rFonts w:ascii="Arial" w:hAnsi="Arial" w:cs="Arial"/>
        </w:rPr>
        <w:t> </w:t>
      </w:r>
      <w:r>
        <w:rPr>
          <w:rFonts w:ascii="Arial" w:hAnsi="Arial"/>
        </w:rPr>
        <w:t>291 bezüglich Anordnung und Geometrie von Parkierungsanlagen für Personenwagen und Motorräder nicht eingehalten wird. Laut dieser Norm ist für das Abstellen von zwei Fahrzeugen zwischen den Mauern ein Mindestabstand von 5,6</w:t>
      </w:r>
      <w:r w:rsidR="000548AC">
        <w:rPr>
          <w:rFonts w:ascii="Arial" w:hAnsi="Arial" w:cs="Arial"/>
        </w:rPr>
        <w:t> </w:t>
      </w:r>
      <w:r>
        <w:rPr>
          <w:rFonts w:ascii="Arial" w:hAnsi="Arial"/>
        </w:rPr>
        <w:t>Meter notwendig. Im vorliegenden Fall beträgt der Abstand zwischen den beiden Mauern 5,45</w:t>
      </w:r>
      <w:r w:rsidR="000548AC">
        <w:rPr>
          <w:rFonts w:ascii="Arial" w:hAnsi="Arial" w:cs="Arial"/>
        </w:rPr>
        <w:t> </w:t>
      </w:r>
      <w:r>
        <w:rPr>
          <w:rFonts w:ascii="Arial" w:hAnsi="Arial"/>
        </w:rPr>
        <w:t xml:space="preserve">Meter. </w:t>
      </w:r>
    </w:p>
    <w:p w14:paraId="67C21599" w14:textId="77777777" w:rsidR="00D305B3" w:rsidRPr="000548AC" w:rsidRDefault="00D305B3" w:rsidP="00D305B3">
      <w:pPr>
        <w:pStyle w:val="Listenabsatz"/>
        <w:rPr>
          <w:rFonts w:ascii="Arial" w:hAnsi="Arial"/>
        </w:rPr>
      </w:pPr>
    </w:p>
    <w:p w14:paraId="35A70915" w14:textId="38DCC9EE" w:rsidR="002E63DC" w:rsidRDefault="009E11C2" w:rsidP="00D305B3">
      <w:pPr>
        <w:pStyle w:val="07btexteprincipalsansespacebloc"/>
        <w:ind w:left="720"/>
        <w:jc w:val="both"/>
        <w:rPr>
          <w:rFonts w:ascii="Arial" w:hAnsi="Arial"/>
        </w:rPr>
      </w:pPr>
      <w:r>
        <w:rPr>
          <w:rFonts w:ascii="Arial" w:hAnsi="Arial"/>
        </w:rPr>
        <w:t xml:space="preserve">In Anbetracht der Konfiguration der Parzelle kann der Gesuchsteller den Carport weder anderweitig platzieren noch verbreitern. Es ist zudem </w:t>
      </w:r>
      <w:r>
        <w:rPr>
          <w:rFonts w:ascii="Arial" w:hAnsi="Arial"/>
        </w:rPr>
        <w:lastRenderedPageBreak/>
        <w:t>anzumerken, dass die Zufahrtsstrasse zur Garage gerade und übersichtlich ist. Auch wenn die VSS-Normen als Ausdruck der Wissenschaft und der Erfahrung der Fachpersonen als Expertenmeinung betrachtet werden können, sind es keine Rechtsnormen im engeren Sinn. Wenn legitime Gründe eine Abweichung rechtfertigen, ist das Gericht nicht an diese Normen gebunden. Der allgemeine Verweis auf die fachlichen Normen gemäss Art</w:t>
      </w:r>
      <w:r w:rsidR="000548AC">
        <w:rPr>
          <w:rFonts w:ascii="Arial" w:hAnsi="Arial"/>
        </w:rPr>
        <w:t>ikel</w:t>
      </w:r>
      <w:r w:rsidR="000548AC">
        <w:rPr>
          <w:rFonts w:ascii="Arial" w:hAnsi="Arial" w:cs="Arial"/>
        </w:rPr>
        <w:t> </w:t>
      </w:r>
      <w:r>
        <w:rPr>
          <w:rFonts w:ascii="Arial" w:hAnsi="Arial"/>
        </w:rPr>
        <w:t>119 RPBG ändert nichts an dieser Feststellung (vgl. in diesem Sinn Art.</w:t>
      </w:r>
      <w:r w:rsidR="000548AC">
        <w:rPr>
          <w:rFonts w:ascii="Arial" w:hAnsi="Arial" w:cs="Arial"/>
        </w:rPr>
        <w:t> </w:t>
      </w:r>
      <w:r>
        <w:rPr>
          <w:rFonts w:ascii="Arial" w:hAnsi="Arial"/>
        </w:rPr>
        <w:t>27 Abs.</w:t>
      </w:r>
      <w:r w:rsidR="000548AC">
        <w:rPr>
          <w:rFonts w:ascii="Arial" w:hAnsi="Arial" w:cs="Arial"/>
        </w:rPr>
        <w:t> </w:t>
      </w:r>
      <w:r>
        <w:rPr>
          <w:rFonts w:ascii="Arial" w:hAnsi="Arial"/>
        </w:rPr>
        <w:t>1 RPBR; ATC</w:t>
      </w:r>
      <w:r w:rsidR="000548AC">
        <w:rPr>
          <w:rFonts w:ascii="Arial" w:hAnsi="Arial" w:cs="Arial"/>
        </w:rPr>
        <w:t> </w:t>
      </w:r>
      <w:r>
        <w:rPr>
          <w:rFonts w:ascii="Arial" w:hAnsi="Arial"/>
        </w:rPr>
        <w:t>602</w:t>
      </w:r>
      <w:r w:rsidR="000548AC">
        <w:rPr>
          <w:rFonts w:ascii="Arial" w:hAnsi="Arial" w:cs="Arial"/>
        </w:rPr>
        <w:t> </w:t>
      </w:r>
      <w:r>
        <w:rPr>
          <w:rFonts w:ascii="Arial" w:hAnsi="Arial"/>
        </w:rPr>
        <w:t>2011</w:t>
      </w:r>
      <w:r w:rsidR="000548AC">
        <w:rPr>
          <w:rFonts w:ascii="Arial" w:hAnsi="Arial" w:cs="Arial"/>
        </w:rPr>
        <w:t> </w:t>
      </w:r>
      <w:r>
        <w:rPr>
          <w:rFonts w:ascii="Arial" w:hAnsi="Arial"/>
        </w:rPr>
        <w:t>74 und 89 vom 7.</w:t>
      </w:r>
      <w:r w:rsidR="000548AC">
        <w:rPr>
          <w:rFonts w:ascii="Arial" w:hAnsi="Arial" w:cs="Arial"/>
        </w:rPr>
        <w:t> </w:t>
      </w:r>
      <w:r>
        <w:rPr>
          <w:rFonts w:ascii="Arial" w:hAnsi="Arial"/>
        </w:rPr>
        <w:t>Dezember 2012; ATC</w:t>
      </w:r>
      <w:r w:rsidR="000548AC">
        <w:rPr>
          <w:rFonts w:ascii="Arial" w:hAnsi="Arial" w:cs="Arial"/>
        </w:rPr>
        <w:t> </w:t>
      </w:r>
      <w:r>
        <w:rPr>
          <w:rFonts w:ascii="Arial" w:hAnsi="Arial"/>
        </w:rPr>
        <w:t>603</w:t>
      </w:r>
      <w:r w:rsidR="000548AC">
        <w:rPr>
          <w:rFonts w:ascii="Arial" w:hAnsi="Arial" w:cs="Arial"/>
        </w:rPr>
        <w:t> </w:t>
      </w:r>
      <w:r>
        <w:rPr>
          <w:rFonts w:ascii="Arial" w:hAnsi="Arial"/>
        </w:rPr>
        <w:t>2012</w:t>
      </w:r>
      <w:r w:rsidR="000548AC">
        <w:rPr>
          <w:rFonts w:ascii="Arial" w:hAnsi="Arial" w:cs="Arial"/>
        </w:rPr>
        <w:t> </w:t>
      </w:r>
      <w:r>
        <w:rPr>
          <w:rFonts w:ascii="Arial" w:hAnsi="Arial"/>
        </w:rPr>
        <w:t>235 vom 24.</w:t>
      </w:r>
      <w:r w:rsidR="000548AC">
        <w:rPr>
          <w:rFonts w:ascii="Arial" w:hAnsi="Arial" w:cs="Arial"/>
        </w:rPr>
        <w:t> </w:t>
      </w:r>
      <w:r>
        <w:rPr>
          <w:rFonts w:ascii="Arial" w:hAnsi="Arial"/>
        </w:rPr>
        <w:t>Januar 2014 E.</w:t>
      </w:r>
      <w:r w:rsidR="000548AC">
        <w:rPr>
          <w:rFonts w:ascii="Arial" w:hAnsi="Arial" w:cs="Arial"/>
        </w:rPr>
        <w:t> </w:t>
      </w:r>
      <w:r>
        <w:rPr>
          <w:rFonts w:ascii="Arial" w:hAnsi="Arial"/>
        </w:rPr>
        <w:t xml:space="preserve">19b). So weicht die Gemeindebehörde in Anbetracht des vorliegenden Sonderfalls vom negativen Vorentscheid des MobA ab und erteilt die beantragte Baubewilligung. </w:t>
      </w:r>
    </w:p>
    <w:p w14:paraId="353BD729" w14:textId="77777777" w:rsidR="002E63DC" w:rsidRPr="000548AC" w:rsidRDefault="002E63DC" w:rsidP="002E63DC">
      <w:pPr>
        <w:pStyle w:val="07btexteprincipalsansespacebloc"/>
        <w:ind w:left="720"/>
        <w:jc w:val="both"/>
        <w:rPr>
          <w:rFonts w:ascii="Arial" w:hAnsi="Arial"/>
        </w:rPr>
      </w:pPr>
    </w:p>
    <w:p w14:paraId="703F14C3" w14:textId="093B8183" w:rsidR="004A0D00" w:rsidRDefault="004A0D00" w:rsidP="004A0D00">
      <w:pPr>
        <w:pStyle w:val="07btexteprincipalsansespacebloc"/>
        <w:numPr>
          <w:ilvl w:val="0"/>
          <w:numId w:val="2"/>
        </w:numPr>
        <w:jc w:val="both"/>
        <w:rPr>
          <w:rFonts w:ascii="Arial" w:hAnsi="Arial"/>
        </w:rPr>
      </w:pPr>
      <w:r>
        <w:rPr>
          <w:rFonts w:ascii="Arial" w:hAnsi="Arial"/>
        </w:rPr>
        <w:t>Die Arbeiten müssen innert zwei Jahren nach der Erteilung der Bewilligung begonnen werden; läuft diese Frist unbenützt ab, so wird die Bewilligung hinfällig.</w:t>
      </w:r>
    </w:p>
    <w:p w14:paraId="151EC8D4" w14:textId="77777777" w:rsidR="002E63DC" w:rsidRPr="000548AC" w:rsidRDefault="002E63DC" w:rsidP="002E63DC">
      <w:pPr>
        <w:pStyle w:val="07btexteprincipalsansespacebloc"/>
        <w:ind w:left="720"/>
        <w:jc w:val="both"/>
        <w:rPr>
          <w:rFonts w:ascii="Arial" w:hAnsi="Arial"/>
        </w:rPr>
      </w:pPr>
    </w:p>
    <w:p w14:paraId="3E42CC2B" w14:textId="2EC92EB4" w:rsidR="004A0D00" w:rsidRDefault="004A0D00" w:rsidP="004A0D00">
      <w:pPr>
        <w:pStyle w:val="07btexteprincipalsansespacebloc"/>
        <w:numPr>
          <w:ilvl w:val="0"/>
          <w:numId w:val="2"/>
        </w:numPr>
        <w:jc w:val="both"/>
        <w:rPr>
          <w:rFonts w:ascii="Arial" w:hAnsi="Arial"/>
        </w:rPr>
      </w:pPr>
      <w:r>
        <w:rPr>
          <w:rFonts w:ascii="Arial" w:hAnsi="Arial"/>
        </w:rPr>
        <w:t>Dieser Entscheid kann mit Beschwerde an die Oberamtsperson innert 30</w:t>
      </w:r>
      <w:r w:rsidR="000548AC">
        <w:rPr>
          <w:rFonts w:ascii="Arial" w:hAnsi="Arial" w:cs="Arial"/>
        </w:rPr>
        <w:t> </w:t>
      </w:r>
      <w:r>
        <w:rPr>
          <w:rFonts w:ascii="Arial" w:hAnsi="Arial"/>
        </w:rPr>
        <w:t xml:space="preserve">Tagen ab Mitteilung angefochten werden. </w:t>
      </w:r>
    </w:p>
    <w:p w14:paraId="0CD187D1" w14:textId="77777777" w:rsidR="002E63DC" w:rsidRPr="000548AC" w:rsidRDefault="002E63DC" w:rsidP="002E63DC">
      <w:pPr>
        <w:pStyle w:val="07btexteprincipalsansespacebloc"/>
        <w:ind w:left="720"/>
        <w:jc w:val="both"/>
        <w:rPr>
          <w:rFonts w:ascii="Arial" w:hAnsi="Arial"/>
        </w:rPr>
      </w:pPr>
    </w:p>
    <w:p w14:paraId="1621D0FF" w14:textId="74F5E32F" w:rsidR="004A0D00" w:rsidRDefault="004A0D00" w:rsidP="004A0D00">
      <w:pPr>
        <w:pStyle w:val="07btexteprincipalsansespacebloc"/>
        <w:numPr>
          <w:ilvl w:val="0"/>
          <w:numId w:val="2"/>
        </w:numPr>
        <w:jc w:val="both"/>
        <w:rPr>
          <w:rFonts w:ascii="Arial" w:hAnsi="Arial"/>
        </w:rPr>
      </w:pPr>
      <w:r>
        <w:rPr>
          <w:rFonts w:ascii="Arial" w:hAnsi="Arial"/>
        </w:rPr>
        <w:t>Die Gebühren von 480</w:t>
      </w:r>
      <w:r w:rsidR="000548AC">
        <w:rPr>
          <w:rFonts w:ascii="Arial" w:hAnsi="Arial" w:cs="Arial"/>
        </w:rPr>
        <w:t> </w:t>
      </w:r>
      <w:r>
        <w:rPr>
          <w:rFonts w:ascii="Arial" w:hAnsi="Arial"/>
        </w:rPr>
        <w:t xml:space="preserve">Franken sind zulasten des Gesuchstellers. </w:t>
      </w:r>
    </w:p>
    <w:p w14:paraId="53DE90FE" w14:textId="1C6D42BB" w:rsidR="004A0D00" w:rsidRPr="000548AC" w:rsidRDefault="004A0D00" w:rsidP="004A0D00">
      <w:pPr>
        <w:pStyle w:val="07btexteprincipalsansespacebloc"/>
        <w:jc w:val="both"/>
        <w:rPr>
          <w:rFonts w:ascii="Arial" w:hAnsi="Arial"/>
        </w:rPr>
      </w:pPr>
    </w:p>
    <w:p w14:paraId="26A5CD56" w14:textId="347A577A" w:rsidR="004A0D00" w:rsidRDefault="004A0D00" w:rsidP="004A0D00">
      <w:pPr>
        <w:pStyle w:val="07btexteprincipalsansespacebloc"/>
        <w:jc w:val="both"/>
        <w:rPr>
          <w:rFonts w:ascii="Arial" w:hAnsi="Arial"/>
        </w:rPr>
      </w:pPr>
      <w:r>
        <w:rPr>
          <w:rFonts w:ascii="Arial" w:hAnsi="Arial"/>
        </w:rPr>
        <w:t xml:space="preserve">Im Namen des Gemeinderats </w:t>
      </w:r>
    </w:p>
    <w:p w14:paraId="547AA1F6" w14:textId="7FA42E82" w:rsidR="004A0D00" w:rsidRPr="000548AC" w:rsidRDefault="004A0D00" w:rsidP="002E63DC">
      <w:pPr>
        <w:pStyle w:val="07btexteprincipalsansespacebloc"/>
        <w:tabs>
          <w:tab w:val="left" w:pos="1560"/>
          <w:tab w:val="left" w:pos="5812"/>
        </w:tabs>
        <w:jc w:val="both"/>
        <w:rPr>
          <w:rFonts w:ascii="Arial" w:hAnsi="Arial"/>
        </w:rPr>
      </w:pPr>
    </w:p>
    <w:p w14:paraId="1B690566" w14:textId="6627A2AA" w:rsidR="005E2436" w:rsidRDefault="002E63DC" w:rsidP="002E63DC">
      <w:pPr>
        <w:pStyle w:val="07btexteprincipalsansespacebloc"/>
        <w:tabs>
          <w:tab w:val="left" w:pos="1560"/>
          <w:tab w:val="left" w:pos="5812"/>
        </w:tabs>
        <w:jc w:val="both"/>
        <w:rPr>
          <w:rFonts w:ascii="Arial" w:hAnsi="Arial"/>
        </w:rPr>
      </w:pPr>
      <w:r>
        <w:rPr>
          <w:rFonts w:ascii="Arial" w:hAnsi="Arial"/>
        </w:rPr>
        <w:tab/>
        <w:t>Der Ammann</w:t>
      </w:r>
      <w:r>
        <w:rPr>
          <w:rFonts w:ascii="Arial" w:hAnsi="Arial"/>
        </w:rPr>
        <w:tab/>
        <w:t>Der Gemeindeschreiber</w:t>
      </w:r>
    </w:p>
    <w:p w14:paraId="79085B66" w14:textId="77777777" w:rsidR="005E2436" w:rsidRPr="000548AC" w:rsidRDefault="005E2436" w:rsidP="002E63DC">
      <w:pPr>
        <w:pStyle w:val="07btexteprincipalsansespacebloc"/>
        <w:tabs>
          <w:tab w:val="left" w:pos="1560"/>
          <w:tab w:val="left" w:pos="5812"/>
        </w:tabs>
        <w:jc w:val="both"/>
        <w:rPr>
          <w:rFonts w:ascii="Arial" w:hAnsi="Arial"/>
        </w:rPr>
      </w:pPr>
    </w:p>
    <w:p w14:paraId="589930C1" w14:textId="71CA856F" w:rsidR="004A0D00" w:rsidRDefault="002E63DC" w:rsidP="002E63DC">
      <w:pPr>
        <w:pStyle w:val="07btexteprincipalsansespacebloc"/>
        <w:tabs>
          <w:tab w:val="left" w:pos="1560"/>
          <w:tab w:val="left" w:pos="5812"/>
        </w:tabs>
        <w:jc w:val="both"/>
        <w:rPr>
          <w:rFonts w:ascii="Arial" w:hAnsi="Arial"/>
        </w:rPr>
      </w:pPr>
      <w:r>
        <w:rPr>
          <w:rFonts w:ascii="Arial" w:hAnsi="Arial"/>
        </w:rPr>
        <w:tab/>
        <w:t>Stanislas Wawrinka</w:t>
      </w:r>
      <w:r>
        <w:rPr>
          <w:rFonts w:ascii="Arial" w:hAnsi="Arial"/>
        </w:rPr>
        <w:tab/>
        <w:t>Andy Murray</w:t>
      </w:r>
    </w:p>
    <w:p w14:paraId="3B951177" w14:textId="4594168E" w:rsidR="004A0D00" w:rsidRPr="000548AC" w:rsidRDefault="004A0D00" w:rsidP="00DE2456">
      <w:pPr>
        <w:pStyle w:val="07btexteprincipalsansespacebloc"/>
        <w:ind w:left="284" w:hanging="284"/>
        <w:jc w:val="both"/>
        <w:rPr>
          <w:rFonts w:ascii="Arial" w:hAnsi="Arial"/>
        </w:rPr>
      </w:pPr>
    </w:p>
    <w:p w14:paraId="5D321F93" w14:textId="66F22A02" w:rsidR="002E63DC" w:rsidRPr="000548AC" w:rsidRDefault="002E63DC" w:rsidP="00DE2456">
      <w:pPr>
        <w:pStyle w:val="07btexteprincipalsansespacebloc"/>
        <w:ind w:left="284" w:hanging="284"/>
        <w:jc w:val="both"/>
        <w:rPr>
          <w:rFonts w:ascii="Arial" w:hAnsi="Arial"/>
        </w:rPr>
      </w:pPr>
    </w:p>
    <w:p w14:paraId="58D631A0" w14:textId="18196F19" w:rsidR="008C04B5" w:rsidRPr="000548AC" w:rsidRDefault="002E63DC" w:rsidP="000548AC">
      <w:pPr>
        <w:pStyle w:val="07btexteprincipalsansespacebloc"/>
        <w:ind w:left="284" w:hanging="284"/>
        <w:jc w:val="both"/>
        <w:rPr>
          <w:rFonts w:ascii="Arial" w:hAnsi="Arial"/>
        </w:rPr>
      </w:pPr>
      <w:r>
        <w:rPr>
          <w:rFonts w:ascii="Arial" w:hAnsi="Arial"/>
        </w:rPr>
        <w:t>Ort und Datum: Tennis, 3. März 2023</w:t>
      </w:r>
    </w:p>
    <w:sectPr w:rsidR="008C04B5" w:rsidRPr="000548AC" w:rsidSect="00D56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63A"/>
    <w:multiLevelType w:val="hybridMultilevel"/>
    <w:tmpl w:val="7526AB48"/>
    <w:lvl w:ilvl="0" w:tplc="C07CCC48">
      <w:start w:val="3"/>
      <w:numFmt w:val="bullet"/>
      <w:lvlText w:val="-"/>
      <w:lvlJc w:val="left"/>
      <w:pPr>
        <w:ind w:left="1353" w:hanging="360"/>
      </w:pPr>
      <w:rPr>
        <w:rFonts w:ascii="Arial" w:eastAsia="Times New Roman" w:hAnsi="Arial" w:cs="Arial" w:hint="default"/>
      </w:rPr>
    </w:lvl>
    <w:lvl w:ilvl="1" w:tplc="100C0003" w:tentative="1">
      <w:start w:val="1"/>
      <w:numFmt w:val="bullet"/>
      <w:lvlText w:val="o"/>
      <w:lvlJc w:val="left"/>
      <w:pPr>
        <w:ind w:left="2073" w:hanging="360"/>
      </w:pPr>
      <w:rPr>
        <w:rFonts w:ascii="Courier New" w:hAnsi="Courier New" w:cs="Courier New" w:hint="default"/>
      </w:rPr>
    </w:lvl>
    <w:lvl w:ilvl="2" w:tplc="100C0005" w:tentative="1">
      <w:start w:val="1"/>
      <w:numFmt w:val="bullet"/>
      <w:lvlText w:val=""/>
      <w:lvlJc w:val="left"/>
      <w:pPr>
        <w:ind w:left="2793" w:hanging="360"/>
      </w:pPr>
      <w:rPr>
        <w:rFonts w:ascii="Wingdings" w:hAnsi="Wingdings" w:hint="default"/>
      </w:rPr>
    </w:lvl>
    <w:lvl w:ilvl="3" w:tplc="100C0001" w:tentative="1">
      <w:start w:val="1"/>
      <w:numFmt w:val="bullet"/>
      <w:lvlText w:val=""/>
      <w:lvlJc w:val="left"/>
      <w:pPr>
        <w:ind w:left="3513" w:hanging="360"/>
      </w:pPr>
      <w:rPr>
        <w:rFonts w:ascii="Symbol" w:hAnsi="Symbol" w:hint="default"/>
      </w:rPr>
    </w:lvl>
    <w:lvl w:ilvl="4" w:tplc="100C0003" w:tentative="1">
      <w:start w:val="1"/>
      <w:numFmt w:val="bullet"/>
      <w:lvlText w:val="o"/>
      <w:lvlJc w:val="left"/>
      <w:pPr>
        <w:ind w:left="4233" w:hanging="360"/>
      </w:pPr>
      <w:rPr>
        <w:rFonts w:ascii="Courier New" w:hAnsi="Courier New" w:cs="Courier New" w:hint="default"/>
      </w:rPr>
    </w:lvl>
    <w:lvl w:ilvl="5" w:tplc="100C0005" w:tentative="1">
      <w:start w:val="1"/>
      <w:numFmt w:val="bullet"/>
      <w:lvlText w:val=""/>
      <w:lvlJc w:val="left"/>
      <w:pPr>
        <w:ind w:left="4953" w:hanging="360"/>
      </w:pPr>
      <w:rPr>
        <w:rFonts w:ascii="Wingdings" w:hAnsi="Wingdings" w:hint="default"/>
      </w:rPr>
    </w:lvl>
    <w:lvl w:ilvl="6" w:tplc="100C0001" w:tentative="1">
      <w:start w:val="1"/>
      <w:numFmt w:val="bullet"/>
      <w:lvlText w:val=""/>
      <w:lvlJc w:val="left"/>
      <w:pPr>
        <w:ind w:left="5673" w:hanging="360"/>
      </w:pPr>
      <w:rPr>
        <w:rFonts w:ascii="Symbol" w:hAnsi="Symbol" w:hint="default"/>
      </w:rPr>
    </w:lvl>
    <w:lvl w:ilvl="7" w:tplc="100C0003" w:tentative="1">
      <w:start w:val="1"/>
      <w:numFmt w:val="bullet"/>
      <w:lvlText w:val="o"/>
      <w:lvlJc w:val="left"/>
      <w:pPr>
        <w:ind w:left="6393" w:hanging="360"/>
      </w:pPr>
      <w:rPr>
        <w:rFonts w:ascii="Courier New" w:hAnsi="Courier New" w:cs="Courier New" w:hint="default"/>
      </w:rPr>
    </w:lvl>
    <w:lvl w:ilvl="8" w:tplc="100C0005" w:tentative="1">
      <w:start w:val="1"/>
      <w:numFmt w:val="bullet"/>
      <w:lvlText w:val=""/>
      <w:lvlJc w:val="left"/>
      <w:pPr>
        <w:ind w:left="7113" w:hanging="360"/>
      </w:pPr>
      <w:rPr>
        <w:rFonts w:ascii="Wingdings" w:hAnsi="Wingdings" w:hint="default"/>
      </w:rPr>
    </w:lvl>
  </w:abstractNum>
  <w:abstractNum w:abstractNumId="1" w15:restartNumberingAfterBreak="0">
    <w:nsid w:val="2EA77342"/>
    <w:multiLevelType w:val="hybridMultilevel"/>
    <w:tmpl w:val="9E56D8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241595535">
    <w:abstractNumId w:val="0"/>
  </w:num>
  <w:num w:numId="2" w16cid:durableId="137337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3B"/>
    <w:rsid w:val="000548AC"/>
    <w:rsid w:val="000A5C9E"/>
    <w:rsid w:val="000C18A4"/>
    <w:rsid w:val="00195A6C"/>
    <w:rsid w:val="0021227C"/>
    <w:rsid w:val="002156F9"/>
    <w:rsid w:val="00236DD9"/>
    <w:rsid w:val="002462C6"/>
    <w:rsid w:val="002812E2"/>
    <w:rsid w:val="002B6CBD"/>
    <w:rsid w:val="002E63DC"/>
    <w:rsid w:val="003266CF"/>
    <w:rsid w:val="0033539B"/>
    <w:rsid w:val="003E2870"/>
    <w:rsid w:val="003E31E3"/>
    <w:rsid w:val="00401C08"/>
    <w:rsid w:val="004146D2"/>
    <w:rsid w:val="004418C8"/>
    <w:rsid w:val="00443FB3"/>
    <w:rsid w:val="0048090A"/>
    <w:rsid w:val="00487627"/>
    <w:rsid w:val="004A0D00"/>
    <w:rsid w:val="004A7DFE"/>
    <w:rsid w:val="004E43CC"/>
    <w:rsid w:val="004E533C"/>
    <w:rsid w:val="004E61D8"/>
    <w:rsid w:val="004F6CD0"/>
    <w:rsid w:val="00500501"/>
    <w:rsid w:val="00511F8A"/>
    <w:rsid w:val="00547A5E"/>
    <w:rsid w:val="00561D6C"/>
    <w:rsid w:val="005B6F3B"/>
    <w:rsid w:val="005E2436"/>
    <w:rsid w:val="00603093"/>
    <w:rsid w:val="006A3DC6"/>
    <w:rsid w:val="006D5F9F"/>
    <w:rsid w:val="007344FA"/>
    <w:rsid w:val="00777A93"/>
    <w:rsid w:val="007806CD"/>
    <w:rsid w:val="00781346"/>
    <w:rsid w:val="0078398A"/>
    <w:rsid w:val="007B72B2"/>
    <w:rsid w:val="007B7585"/>
    <w:rsid w:val="00887864"/>
    <w:rsid w:val="008B39FC"/>
    <w:rsid w:val="008C04B5"/>
    <w:rsid w:val="008D74AD"/>
    <w:rsid w:val="009A483F"/>
    <w:rsid w:val="009E11C2"/>
    <w:rsid w:val="00A0776D"/>
    <w:rsid w:val="00A235C2"/>
    <w:rsid w:val="00AB57E4"/>
    <w:rsid w:val="00AC43F0"/>
    <w:rsid w:val="00B02783"/>
    <w:rsid w:val="00B27200"/>
    <w:rsid w:val="00BB6E5D"/>
    <w:rsid w:val="00C05DE5"/>
    <w:rsid w:val="00C16001"/>
    <w:rsid w:val="00C53242"/>
    <w:rsid w:val="00C95F7E"/>
    <w:rsid w:val="00D12FF8"/>
    <w:rsid w:val="00D14428"/>
    <w:rsid w:val="00D305B3"/>
    <w:rsid w:val="00D56893"/>
    <w:rsid w:val="00D803B8"/>
    <w:rsid w:val="00D805CA"/>
    <w:rsid w:val="00DB361F"/>
    <w:rsid w:val="00DE2456"/>
    <w:rsid w:val="00DF7500"/>
    <w:rsid w:val="00E133C7"/>
    <w:rsid w:val="00E2234B"/>
    <w:rsid w:val="00E27DF3"/>
    <w:rsid w:val="00E704E4"/>
    <w:rsid w:val="00E871E9"/>
    <w:rsid w:val="00F07838"/>
    <w:rsid w:val="00F21E4F"/>
    <w:rsid w:val="00F53758"/>
    <w:rsid w:val="00F53EE8"/>
    <w:rsid w:val="00FA2A0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4723"/>
  <w15:docId w15:val="{6EFDC3A6-3CFE-4ABA-B17F-C4626F19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6F3B"/>
    <w:pPr>
      <w:overflowPunct w:val="0"/>
      <w:autoSpaceDE w:val="0"/>
      <w:autoSpaceDN w:val="0"/>
      <w:adjustRightInd w:val="0"/>
      <w:spacing w:after="0"/>
      <w:textAlignment w:val="baseline"/>
    </w:pPr>
    <w:rPr>
      <w:rFonts w:eastAsia="Times New Roman" w:cs="Times New Roman"/>
      <w:sz w:val="20"/>
      <w:szCs w:val="20"/>
      <w:lang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6E5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6E5D"/>
    <w:rPr>
      <w:rFonts w:ascii="Tahoma" w:eastAsia="Times New Roman" w:hAnsi="Tahoma" w:cs="Tahoma"/>
      <w:sz w:val="16"/>
      <w:szCs w:val="16"/>
      <w:lang w:val="de-CH" w:eastAsia="fr-FR"/>
    </w:rPr>
  </w:style>
  <w:style w:type="paragraph" w:customStyle="1" w:styleId="05titreprincipalouobjetgras">
    <w:name w:val="05_titre_principal_ou_objet_gras"/>
    <w:qFormat/>
    <w:rsid w:val="00DE2456"/>
    <w:pPr>
      <w:spacing w:after="0" w:line="280" w:lineRule="exact"/>
    </w:pPr>
    <w:rPr>
      <w:rFonts w:ascii="Arial" w:eastAsia="Times New Roman" w:hAnsi="Arial" w:cs="Times New Roman"/>
      <w:b/>
      <w:sz w:val="24"/>
      <w:szCs w:val="24"/>
      <w:lang w:eastAsia="fr-FR"/>
    </w:rPr>
  </w:style>
  <w:style w:type="paragraph" w:customStyle="1" w:styleId="07btexteprincipalsansespacebloc">
    <w:name w:val="07b_texte_principal_sans_espace_bloc"/>
    <w:basedOn w:val="Standard"/>
    <w:qFormat/>
    <w:rsid w:val="00DE2456"/>
    <w:pPr>
      <w:overflowPunct/>
      <w:autoSpaceDE/>
      <w:autoSpaceDN/>
      <w:adjustRightInd/>
      <w:spacing w:line="280" w:lineRule="exact"/>
      <w:textAlignment w:val="auto"/>
    </w:pPr>
    <w:rPr>
      <w:sz w:val="24"/>
      <w:szCs w:val="24"/>
    </w:rPr>
  </w:style>
  <w:style w:type="paragraph" w:customStyle="1" w:styleId="04titreprincipalouobjetnormal">
    <w:name w:val="04_titre_principal_ou_objet_normal"/>
    <w:basedOn w:val="05titreprincipalouobjetgras"/>
    <w:qFormat/>
    <w:rsid w:val="00DE2456"/>
    <w:rPr>
      <w:b w:val="0"/>
    </w:rPr>
  </w:style>
  <w:style w:type="paragraph" w:styleId="Listenabsatz">
    <w:name w:val="List Paragraph"/>
    <w:basedOn w:val="Standard"/>
    <w:uiPriority w:val="34"/>
    <w:qFormat/>
    <w:rsid w:val="002E6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3963FBF618641AED86739A3AEAB7E" ma:contentTypeVersion="16" ma:contentTypeDescription="Crée un document." ma:contentTypeScope="" ma:versionID="c0213a4de4fde4beac6e28eace6a5be1">
  <xsd:schema xmlns:xsd="http://www.w3.org/2001/XMLSchema" xmlns:xs="http://www.w3.org/2001/XMLSchema" xmlns:p="http://schemas.microsoft.com/office/2006/metadata/properties" xmlns:ns2="8b4d73ce-a43f-4a6b-b590-2779b08ddbdc" xmlns:ns3="c3a6a09f-93f6-4cf0-8bda-9cbec7cb5d0e" targetNamespace="http://schemas.microsoft.com/office/2006/metadata/properties" ma:root="true" ma:fieldsID="0a3ca257e8e2ee453abd0201279c5afe" ns2:_="" ns3:_="">
    <xsd:import namespace="8b4d73ce-a43f-4a6b-b590-2779b08ddbdc"/>
    <xsd:import namespace="c3a6a09f-93f6-4cf0-8bda-9cbec7cb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73ce-a43f-4a6b-b590-2779b08dd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35d0ec-8783-495b-88e1-95c45ca37f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6a09f-93f6-4cf0-8bda-9cbec7cb5d0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3ba06c3-6970-4bed-8693-d4bd14b33e47}" ma:internalName="TaxCatchAll" ma:showField="CatchAllData" ma:web="c3a6a09f-93f6-4cf0-8bda-9cbec7cb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2B8A2-162D-4D7A-B827-0146C5FFA4AC}"/>
</file>

<file path=customXml/itemProps2.xml><?xml version="1.0" encoding="utf-8"?>
<ds:datastoreItem xmlns:ds="http://schemas.openxmlformats.org/officeDocument/2006/customXml" ds:itemID="{54DE56C8-8A02-4648-A7B2-D78E34BE6CB8}"/>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2708</Characters>
  <Application>Microsoft Office Word</Application>
  <DocSecurity>0</DocSecurity>
  <Lines>100</Lines>
  <Paragraphs>37</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bourquij</dc:creator>
  <cp:lastModifiedBy>Anita Iten</cp:lastModifiedBy>
  <cp:revision>3</cp:revision>
  <cp:lastPrinted>2013-11-26T09:11:00Z</cp:lastPrinted>
  <dcterms:created xsi:type="dcterms:W3CDTF">2023-03-01T09:11:00Z</dcterms:created>
  <dcterms:modified xsi:type="dcterms:W3CDTF">2023-03-01T09:11:00Z</dcterms:modified>
</cp:coreProperties>
</file>